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72"/>
        <w:tblW w:w="103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0"/>
        <w:gridCol w:w="1800"/>
        <w:gridCol w:w="7950"/>
      </w:tblGrid>
      <w:tr>
        <w:tblPrEx/>
        <w:trPr>
          <w:cantSplit/>
          <w:trHeight w:val="315"/>
        </w:trPr>
        <w:tc>
          <w:tcPr>
            <w:gridSpan w:val="3"/>
            <w:shd w:val="clear" w:color="auto" w:fill="auto"/>
            <w:tcW w:w="10380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ТЕХНИЧЕСКОЕ ЗАДАНИЕ</w:t>
            </w:r>
            <w:r/>
          </w:p>
        </w:tc>
      </w:tr>
      <w:tr>
        <w:tblPrEx/>
        <w:trPr>
          <w:cantSplit/>
        </w:trPr>
        <w:tc>
          <w:tcPr>
            <w:gridSpan w:val="3"/>
            <w:shd w:val="clear" w:color="auto" w:fill="auto"/>
            <w:tcW w:w="10380" w:type="dxa"/>
            <w:vAlign w:val="top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на оказание услуг по предоставлению доступа к базе данных резюме с возможностью просмотра контактной информации соискателя с использованием API и публикациями вакансий  АО "РОССЕТИ СИБИРЬ ТЫВАЭНЕРГО"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W w:w="630" w:type="dxa"/>
            <w:vAlign w:val="bottom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  <w:tc>
          <w:tcPr>
            <w:shd w:val="clear" w:color="auto" w:fill="auto"/>
            <w:tcW w:w="1800" w:type="dxa"/>
            <w:vAlign w:val="bottom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  <w:tc>
          <w:tcPr>
            <w:shd w:val="clear" w:color="auto" w:fill="auto"/>
            <w:tcW w:w="7950" w:type="dxa"/>
            <w:vAlign w:val="bottom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Объект закупки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Оказание услуг по предоставлению доступа к базе данных резюме с возможностью просмотра контактной информации соискателя с использованием API и публикациями вакансий (далее – Услуги).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2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Заказчик</w:t>
            </w:r>
            <w:r/>
          </w:p>
        </w:tc>
        <w:tc>
          <w:tcPr>
            <w:shd w:val="clear" w:color="auto" w:fill="auto"/>
            <w:tcBorders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АКЦИОНЕРНОЕ ОБЩЕСТВО "РОССЕТИ СИБИРЬ ТЫВАЭНЕРГО"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3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Место оказания услуг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Дистанционно, в сети интернет на сайте Исполнителя.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0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Срок оказания услуг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В течение 365  календарных дней с момента Активации услуги.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00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themeColor="background1" w:fill="ffffff" w:themeFill="background1"/>
            <w:tcBorders>
              <w:left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Активация услуги производится Заказчиком в течение 3 рабочих дней после заключения Договора, при условии исполнения им обязательств по оплате услуг.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00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5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Основные цели оказания услуг</w:t>
            </w:r>
            <w:r/>
          </w:p>
        </w:tc>
        <w:tc>
          <w:tcPr>
            <w:shd w:val="clear" w:color="auto" w:fill="auto"/>
            <w:tcBorders>
              <w:right w:val="single" w:color="auto" w:sz="5" w:space="0"/>
            </w:tcBorders>
            <w:tcW w:w="7950" w:type="dxa"/>
            <w:vAlign w:val="bottom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Подбор и привлечение персонала в АО "РОССЕТИ СИБИРЬ ТЫВАЭНЕРГО"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6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7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Общие требова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ния к услугам (краткие характеристики оказываемых услуг, требования к качественным и количественным характеристикам оказываемых услуг, требования по объему гарантий качества, требования по сроку гарантий качества на результаты осуществления закупок и т.п.)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6.1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Перечень оказываемых услуг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Доступ к Базе данных резюме с предложениями соискателей о тр</w:t>
            </w:r>
            <w:r>
              <w:rPr>
                <w:rFonts w:ascii="Arial" w:hAnsi="Arial"/>
                <w:sz w:val="18"/>
                <w:szCs w:val="18"/>
              </w:rPr>
              <w:t xml:space="preserve">удоустройстве (резюме) с использованием ПО HeadHunter с возможностью просмотра контактной информации соискателя с использованием API HH и публикациями вакансий: региональный критерий "Сибирский федеральный округ", критерий специализации "Все специализации"</w:t>
            </w:r>
            <w:r>
              <w:rPr>
                <w:rFonts w:ascii="Arial" w:hAnsi="Arial"/>
                <w:sz w:val="18"/>
                <w:szCs w:val="18"/>
              </w:rPr>
              <w:t xml:space="preserve">, возможность просмотра контактной информации соискателя, количество просмотров 3500 шт., сроком предоставления на 365 дней, предоставление возможности публикации вакансий «Стандарт» в течение срока предоставления Доступа к Базе данных в количестве 335 шт.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6.2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Количество оказываемых услуг</w:t>
            </w:r>
            <w:r/>
          </w:p>
        </w:tc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В соответствии с настоящим Техническим заданием.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63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6.3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180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Термины и определения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Заказчик -  АКЦИОНЕРНОЕ ОБЩЕСТВО "РОССЕТИ СИБИРЬ ТЫВАЭНЕРГО"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630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1800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Исполнитель – лицо, обязующееся по заданию Заказчика оказывать услуги  на основании договора оказания услуг, заключенного с Заказчиком.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Интернет-сайт – содержимое Интернет-страниц, расположенных в сети Интернет на домене Исполнителя.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Услуга Исполнителя – услуги, оказываемые Заказчику Исполнителем посредством интернет-сайта.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Пользователь – лицо, зарегистрированное на интернет-сайте Исполнителя.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Соискатель, кандидат – пользователь сайта, разместивший свое резюме в базе данных Исполнителя на его интернет-сайте с целью поиска работы.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630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1800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Учетная информация Зака</w:t>
            </w:r>
            <w:r>
              <w:rPr>
                <w:rFonts w:ascii="Arial" w:hAnsi="Arial"/>
                <w:sz w:val="18"/>
                <w:szCs w:val="18"/>
              </w:rPr>
              <w:t xml:space="preserve">зчика – уникальное имя пользователя и пароль для входа на защищенные страницы интернет-сайта Исполнителя, часть механизма авторизации на сайте Исполнителя, который в свою очередь является техническим средством защиты авторских (исключительных прав) Исполни</w:t>
            </w:r>
            <w:r>
              <w:rPr>
                <w:rFonts w:ascii="Arial" w:hAnsi="Arial"/>
                <w:sz w:val="18"/>
                <w:szCs w:val="18"/>
              </w:rPr>
              <w:t xml:space="preserve">теля на сайт, Базу данных и на иные произведения, находящиеся на сайте, правообладателем которых является Исполнитель. Учетная информация может быть предоставлена Заказчику только Исполнителем, в том числе посредством программного обеспечения самого сайта.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Представитель Заказчика – работник Заказчика, имеющий индивидуальную учетную информацию для входа на защищенные разделы интернет-сайта.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Страница Заказчика – специальная страница на интернет-сайте, создаваемая при регистрации Заказчика, на которой последний размещает свое описание.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Личный кабинет Заказчика - персонализированное рабочее пространство Заказчика на сайте, в котором Заказчик может управлять своей страницей на сайте или другими сервисами сайта.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База данных – информационная база данных Исполнителя, содержащая резюме Соискателей и размещенная на Сайтах Исполнителя.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630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1800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Доступ к Базе данных – возможность для Заказчика просматривать резюме, содержащиеся в Базе данных.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Параметры Доступа к Базе данных – возможность для Заказчика просматривать Резюме из Базы данных с определенными типами критериев, например: региональный критерий, критерий специализаций, критерий периода доступа (выражается в календарных днях).</w:t>
            </w:r>
            <w:r/>
          </w:p>
          <w:p>
            <w:pPr>
              <w:jc w:val="left"/>
              <w:spacing w:after="0"/>
              <w:tabs>
                <w:tab w:val="left" w:pos="5510" w:leader="none"/>
              </w:tabs>
            </w:pPr>
            <w:r>
              <w:rPr>
                <w:rFonts w:ascii="Arial" w:hAnsi="Arial"/>
                <w:sz w:val="18"/>
                <w:szCs w:val="18"/>
              </w:rPr>
              <w:t xml:space="preserve">Предоставление возможности Публикации вакансии — размещение на сайте Исполнителя на специальной странице информации о наличии у Заказчика вакантных позиций для трудоустройства.</w:t>
            </w:r>
            <w:r>
              <w:tab/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API (application programming interface) – интерфейс программирования и создания приложений, определяющий функциональность внешнего зарегистрированного ПО для целей автоматизированной работы с сайтом Исполнителя.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630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1800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Активация услуг — списание с Лицевого счета Заказчика на сайте Исполнителя стоимости услуг и начало предоставления этих услуг.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Лицевой счет на сайте Исполнителя - реестр учета движения денежных средств и расчетных операций Сторон по услугам, приобретаемым Заказчиком.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ПО – программное обеспечение.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6.4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Условия оказания услуг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В соответствии с Договором, настоящим Техническим заданием, условиями оказания услуг и условиями использования сайтов, размещенных на сайте Исполнителя.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6.5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Требования к оказываемым услугам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Сайт (адрес сайта заполняется на основании данных Заявки Участника, признанного Победителем, с которым Заказчик заключает Договор):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Наличие на Сайте личного кабинета заказчика услуг (персонализированное рабочее пространство);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Наличие на Сайте механизма авторизации с использованием логина и пароля Заказчика;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Оперативное устранение технических проблем, создающих помехи для работоспособности.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База данных: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Общий объем базы данных резюме - не менее 30 000 000 резюме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6.6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Технические характеристики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1.   Заказчик должен зарегистрироваться на сайте Исполнителя. После регистрации Исполнитель предоставляет Заказчику посредством электронной почты логин и пароль для доступа к сайту и получения услуг («учетная информация»).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2.   Для начала работы с сайтом Заказчик должен сообщить свою учетную информацию (ввести логин и пароль на странице авторизации).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3.   В случае использования сайта Исполнителя в процессе </w:t>
            </w:r>
            <w:r>
              <w:rPr>
                <w:rFonts w:ascii="Arial" w:hAnsi="Arial"/>
                <w:sz w:val="18"/>
                <w:szCs w:val="18"/>
              </w:rPr>
              <w:t xml:space="preserve">оказания услуг по Договору Заказчик не передает третьим лицам логин и пароль учетной информации для доступа к сайту Исполнителя и получения услуг, кроме своих работников, а также не использует для работы с сайтом Исполнителя Учетную информацию третьих лиц.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4.   В случае использования сайта Исполнителя в процессе оказания услуг по Договору Заказчик соблюдает условия использования сайта Исполнителя и условия оказания услуг, изложенные на сайте Исполнителя.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5.  Исполнитель вправе вносить изменения в условия использования Сайта, указанные изменения вступают в силу с момента размещения новой редакции на Сайте.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/>
            <w:r/>
          </w:p>
        </w:tc>
        <w:tc>
          <w:tcPr>
            <w:shd w:val="clear" w:color="auto" w:fill="auto"/>
            <w:tcBorders>
              <w:top w:val="non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non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/>
            <w:r/>
          </w:p>
        </w:tc>
        <w:tc>
          <w:tcPr>
            <w:shd w:val="clear" w:color="auto" w:fill="auto"/>
            <w:tcBorders>
              <w:top w:val="non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  <w:tc>
          <w:tcPr>
            <w:shd w:val="clear" w:color="auto" w:fill="auto"/>
            <w:tcBorders>
              <w:top w:val="non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  <w:u w:val="single"/>
              </w:rPr>
              <w:t xml:space="preserve">6.  Доступ к Базе данных с возможностью просмотра контактной информации соискателя: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non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/>
            <w:r/>
          </w:p>
        </w:tc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  <w:tc>
          <w:tcPr>
            <w:shd w:val="clear" w:color="auto" w:fill="auto"/>
            <w:tcBorders>
              <w:top w:val="non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Предоставление Доступа к Базе данных для индивидуального использования в течение срока оказания услуг.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Обновление базы резюме кандидатов и поддержание ее в актуальном состоянии.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Применение технических средств защиты в отношении Базы данных.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Обеспечение круглосуточного доступа к резюме соискателей.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поиска и фильтрации резюме из базы данных по ключевым словам.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настройки поиска резюме (в соответствии с полями резюме).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non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/>
            <w:r/>
          </w:p>
        </w:tc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  <w:tc>
          <w:tcPr>
            <w:shd w:val="clear" w:color="auto" w:fill="auto"/>
            <w:tcBorders>
              <w:top w:val="non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Предпросмотр резюме (карточка короткого резюме) с возможност</w:t>
            </w:r>
            <w:r>
              <w:rPr>
                <w:rFonts w:ascii="Arial" w:hAnsi="Arial"/>
                <w:sz w:val="18"/>
                <w:szCs w:val="18"/>
              </w:rPr>
              <w:t xml:space="preserve">ью настройки полей:  время изменения; ФИО; фото; последнее место работы; знание иностранных языков; регион; основное образование; гражданство; названия компаний, в которых работали; специализации; возможность переезда; электронные сертификаты; опыт работы.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сохранения резюме соискателей в личном кабинете на Сайте в папках для хранения, в избранных резюме.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произвести до 500 просмотров резюме соискателей в течение суток.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просмотра до 5000 резюме на страницах Сайта, отвечающее заданным фильтрам (параметрам поиска) Заказчика за один запрос выборки.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настройки вида результатов поиска.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/>
            <w:r/>
          </w:p>
        </w:tc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  <w:tc>
          <w:tcPr>
            <w:shd w:val="clear" w:color="auto" w:fill="auto"/>
            <w:tcBorders>
              <w:top w:val="non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поиска резюме, инструментарий поиска по критериям: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    -  ключевая фраза (фразы), которые могут присутствовать в тексте резюме в названии желаемой должности, опыте работы: должностях, компаниях, отраслях, образовании, ключевых навыков;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    - регион проживания кандидата;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    - возможности переезда в конкретный регион/город/район города;   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    - близкорасположенные станции метро;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    - специализация;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    - степень владения иностранным языком;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    - уровень образования;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    - названия учебных учреждений;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    - зарплатные ожидания;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    - возраст кандидата;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    - гендерные различия;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    - дата размещения или обновления резюме на Сайте. 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Возможности поиска: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    - поиск по синонимам;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    - поиск с учетом сокращений;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    - поиск с учетом аббревиатур;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    - поиск с учетом различных форм слова поиск близких по смыслу выражений.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видеть доступность соискателя на Сайте.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Наличие подсказок в поисковой строке, которые должны помочь уточнить искомое слово, избежать опечаток. Подсказки активизируются при вводе первых двух букв в поисковую строку.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/>
            <w:r/>
          </w:p>
        </w:tc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  <w:tc>
          <w:tcPr>
            <w:shd w:val="clear" w:color="auto" w:fill="auto"/>
            <w:tcBorders>
              <w:top w:val="non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пригласить кандидата из поиска на размещенную вакансию.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выдачи квот менеджерам вакансий на просмотр контактной информации соискателей.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настройки прав доступа к просмотру контактов для зарегистрированных пользователей.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Наличие критериев фильтрации: фильтрация результатов поиска по релевантности (соответствию).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Выделение ранее просмотренных резюме при работе с разных компьютеров.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Открытое резюме запоминается системой и помечается как просмотренное.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исключать при поиске резюме, которые были ранее просмотрены при работе с базой данных.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группировки резюме по соискателям.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подписаться на подходящие резюме и   сохранять поисковые запросы с целью оптимизации времени работы на Сайте (автопоиск).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отслеживать появление в базе резюме новых резюме по заданным параметрам поиска с помощью функции автопоиска.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оставлять комментарии к просмотренным резюме, возможность делиться комментариями с другими пользователями единой учетной записи на Сайте.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видеть историю просмотров резюме, откликов и приглашений другими пользователями единой учетной записи на Сайте.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 При открытии любого резюме в нижней части страницы наличие списка похожих резюме иных соискателей.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просмотра контактной информации соискателя в течение срока действия доступа к базе данных в количестве, согласованном сторонами.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Гарантированная возможность связаться с кандидатом через чат приложения Сайта.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связаться с кандидатом посредством иных каналов коммуникации, указанных им и/или выбранных Заказчиком для коммуникации.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Счет Исполнителем количества совершенных Заказчиком просмотров контактной информации и отражение информации в личном кабинете Заказчика с учетом следующего: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Контактной информацией соискателя является одни или совокупно данные отраженные соискателем в Резюме: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-  Фамилия, имя, отчество при наличии;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- контактные телефоны;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- e-mail;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- ссылки на социальные сети и другие сайты;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- фотоизображение соискателя.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/>
            <w:r/>
          </w:p>
        </w:tc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  <w:tc>
          <w:tcPr>
            <w:shd w:val="clear" w:color="auto" w:fill="auto"/>
            <w:tcBorders>
              <w:top w:val="non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/>
            <w:r/>
          </w:p>
        </w:tc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  <w:tc>
          <w:tcPr>
            <w:shd w:val="clear" w:color="auto" w:fill="auto"/>
            <w:tcBorders>
              <w:top w:val="non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  <w:u w:val="single"/>
              </w:rPr>
              <w:t xml:space="preserve">Просмотром контактной информации соискателя является совершение следующих действий Заказчика: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/>
            <w:r/>
          </w:p>
        </w:tc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  <w:tc>
          <w:tcPr>
            <w:shd w:val="clear" w:color="auto" w:fill="auto"/>
            <w:tcBorders>
              <w:top w:val="non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- открытие контактной информации соискателей путем нажатия «показать контакты» на странице резюме соискателя или поисковой выдачи на Сайте, а также аналогичные действия через канал API;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- отправленное с</w:t>
            </w:r>
            <w:r>
              <w:rPr>
                <w:rFonts w:ascii="Arial" w:hAnsi="Arial"/>
                <w:sz w:val="18"/>
                <w:szCs w:val="18"/>
              </w:rPr>
              <w:t xml:space="preserve">оискателю приглашение по кнопке «пригласить» на странице резюме соискателя или из поисковой выдачи на Сайте, а также аналогичное действие посредством функционала API, если ранее Заказчик не просматривал контакты соискателя через кнопку «Показать контакты»;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- нажатие на кнопки каналов коммуникации, если ранее Заказчик не просматривал контакты соискателя через кнопку «Показать контакты»;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- направление соискателю сообщения посредством Сайта. </w:t>
            </w:r>
            <w:r>
              <w:rPr>
                <w:rFonts w:ascii="Arial" w:hAnsi="Arial"/>
                <w:sz w:val="18"/>
                <w:szCs w:val="18"/>
              </w:rPr>
              <w:t xml:space="preserve">В случае не указания соискателем контактных данных в резюме, Заказчику доступен функционал Сайта, позволяющий Заказчику самостоятельно направить соискателю сообщение. Исполнитель не гарантирует прочтение соискателем сообщения и получение ответа соискателя.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Не засчитывается в счет новых просмотров контактных данных соискателя следующие действия Заказчика: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- повторное открытие ранее просмотренных Заказчиком контактных данных в течение срока действия доступа к базе данных;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- открытие контактов из резюме соискателя, находящегося в откликах на активную вакансию, либо на вакансию, находящуюся в архиве не более месяца;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- открытие контактов из резюме из папок «Входящие»/ «Хочу у вас работать»;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- добавление резюме в избранное;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- просмотр данных из резюме, за исключением контактных данных.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/>
            <w:r/>
          </w:p>
        </w:tc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  <w:tc>
          <w:tcPr>
            <w:shd w:val="clear" w:color="auto" w:fill="auto"/>
            <w:tcBorders>
              <w:top w:val="non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/>
            <w:r/>
          </w:p>
        </w:tc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  <w:tc>
          <w:tcPr>
            <w:shd w:val="clear" w:color="auto" w:fill="auto"/>
            <w:tcBorders>
              <w:top w:val="non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  <w:u w:val="single"/>
              </w:rPr>
              <w:t xml:space="preserve">Возможность публикации вакансий: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/>
            <w:r/>
          </w:p>
        </w:tc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  <w:tc>
          <w:tcPr>
            <w:shd w:val="clear" w:color="auto" w:fill="auto"/>
            <w:tcBorders>
              <w:top w:val="non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Срок актуальности публикации вакансии до 30 календарных дней с момента размещения.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самостоятельной публикации вакансий в течение срока оказания услуг.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публикации, редактирования, удаления вакансий на Сайте.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самостоятельно обновлять публикуемые вакансии.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самостоятельного перенесения Заказчиком в архив Публикации вакансии до окончания срока актуальности Публикации вакансии.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оперативного взаимодействия с кандидатом на Сайте: отправка смс-сообщений и электронных писем на адреса электронной почты через специальные кнопки управления в личном кабинете.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обмена с соискателями сообщениями в отдельном окне личного кабинета после отправки приглашения соискателю на вакансию.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создавать шаблоны вакансий.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настройки шаблонов текстов писем для каждого этапа работы по вакансии.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отслеживать эффективность вакансии в режиме реального времени: графики просмотров и откликов, воронки подбора по каждой вакансии с помощью статистики.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размещения закрытой публикации вакансий, чтобы скрывать вакансию из поиска вакансий и вести самостоятельный подбор на вакансию.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сохранения откликов после того, как вакансия направлена в архив.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/>
            <w:r/>
          </w:p>
        </w:tc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  <w:tc>
          <w:tcPr>
            <w:shd w:val="clear" w:color="auto" w:fill="auto"/>
            <w:tcBorders>
              <w:top w:val="non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сохранения резюме каждым пользователем в отдельный раздел личного кабинета «Отобранные».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формировать кадровый резерв в личном кабинете Заказчика: выделять резюме кандидатов, которые хотят работать именно у компании (Заказчика).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создания библиотеки адресов, при прикреплении адреса вакансия отображается для соискателя на карте, в том числе в мобильном приложении.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Наличие возможности соотнесения («привязки») адреса местонахождения с вакансией с последующим отображением на карте.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постановки пометки «для людей с инвалидностью» для поиска таких соискателей.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предварительной оценки соискателей для экономии времени при подборе персонала с помощью функционала вопросов и тестов.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мультипостинга вакансий: публикация вакансии в нескольких городах.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Наличие возможности просмотра статистики по дням размещения вакансии в разрезе просмотров и откликов за последние 30 дней размещения вакансии.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ранжирования полученных откликов на основе искусственного интеллекта.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ранжирования вакансий для соискателей на основе машинного обучения. Наиболее подходящие вакансии показываются соискателю выше в поиске, что увеличивает количество откликов на вакансию.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подключения премодерации вакансий, модерация вакансии до появления их на Cайте.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просмотра в личном кабинете резюме соискателей, кто открывал вакансии Заказчика.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просмотра показателя по скорости ответов и проценту просмотренных откликов на вакансии.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/>
            <w:r/>
          </w:p>
        </w:tc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  <w:tc>
          <w:tcPr>
            <w:shd w:val="clear" w:color="auto" w:fill="auto"/>
            <w:tcBorders>
              <w:top w:val="non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Массовые операции с откликами по вакансиям: возможность выделения всех резюме в откликах с перемещением их по статусам работы по вакансиям.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запланировать продление вакансии в определенное время, чтобы вакансия не ушла в архив.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настроить обновление вакансии по графику.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отмечать не пришедших на собеседование кандидатов.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указать пометки в вакансиях для «временного трудоустройства».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оценить эффективность работы с услугами с помощью онлайн статистики по тратам вакансий, количестве использованных публикаций и стоимости отклика.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не указывать контактную информацию Заказчика в тексте публикации вакансии.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просмотра конкурентной аналитики по вакансиям: анализ конкурентов, анализ заработных плат конкурентов, анализ доступного объема соискателей и распределение по полу/возрасту/образованию/ опыту работы и т.д.</w:t>
            </w:r>
            <w:r/>
            <w:r>
              <w:rPr>
                <w:rFonts w:ascii="Arial" w:hAnsi="Arial"/>
                <w:sz w:val="18"/>
                <w:szCs w:val="18"/>
              </w:rPr>
            </w:r>
            <w:r/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ежедневного обновления вакансии.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/>
            <w:r/>
          </w:p>
        </w:tc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  <w:tc>
          <w:tcPr>
            <w:shd w:val="clear" w:color="auto" w:fill="auto"/>
            <w:tcBorders>
              <w:top w:val="non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/>
            <w:r/>
          </w:p>
        </w:tc>
        <w:tc>
          <w:tcPr>
            <w:shd w:val="clear" w:color="auto" w:fill="auto"/>
            <w:tcBorders>
              <w:left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  <w:tc>
          <w:tcPr>
            <w:shd w:val="clear" w:color="auto" w:fill="auto"/>
            <w:tcBorders>
              <w:top w:val="none" w:color="auto" w:sz="5" w:space="0"/>
              <w:left w:val="single" w:color="auto" w:sz="5" w:space="0"/>
              <w:bottom w:val="non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  <w:u w:val="single"/>
              </w:rPr>
              <w:t xml:space="preserve">Возможность использования функционала API: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/>
            <w:r/>
          </w:p>
        </w:tc>
        <w:tc>
          <w:tcPr>
            <w:shd w:val="clear" w:color="auto" w:fill="auto"/>
            <w:tcBorders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  <w:tc>
          <w:tcPr>
            <w:shd w:val="clear" w:color="auto" w:fill="auto"/>
            <w:tcBorders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в течение срока оказания услуг использования функционала API, позволяющего Заказчику производить поисковые запросы посредством API к Базе Данных аналогично поисковому запросу при работе на Сайте.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взаимодействия с API путем обмена http запросами/ответами между API и Зарегистрированным Заказчиком ПО на Сайте Исполнителя.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регистрации ПО Заказчика путем подачи заявки на сайте Исполнителя через которое будет производиться взаимодействие с Сайтом.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подачи заявки на регистрацию ПО Исполнителя с изменёнными параметрами или подачи заявки на регистрацию иного ПО в случае, получения Заказчиком отказа в регистрации ПО на сайте.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в течение срока оказания услуги использовать любое количество Зарегистрированных ПО.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•   Возможность использования информации, полученной через API для целей собственной хозяйственной деятельности в целях привлечения соискателей и их последующего трудоустройства у Заказчика.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6.7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Сопутствующие услуги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Наличие возможности получения информации об аналитике и рынке труда на Сайте.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7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Гарантия качества оказываемых услуг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Надлежащее качество оказания услуг в установленные сроки в полном объеме в соответствии с настоящим Техническим заданием и условиями, размещенными на сайте Исполнителя.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8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Требования</w:t>
            </w:r>
            <w:r/>
          </w:p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соответствия нормативным документам (лицензии, допуски, разрешения, согласования)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Не установлено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9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7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Порядок оказания услуг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9.1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Порядок сдачи и приемки оказанных услуг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Акт об оказании услуг и счет-фактура или УПД (если Стороны договорились осуществлять документообор</w:t>
            </w:r>
            <w:r>
              <w:rPr>
                <w:rFonts w:ascii="Arial" w:hAnsi="Arial"/>
                <w:sz w:val="18"/>
                <w:szCs w:val="18"/>
              </w:rPr>
              <w:t xml:space="preserve">от в электронном виде с использованием усиленной квалифицированной электронной подписи), выставляется Исполнителем ежемесячно не позднее 5 (Пятого) числа месяца, следующего за отчетным. Акт об оказании услуг/УПД должен быть подписан Заказчиком в течение 5 </w:t>
            </w:r>
            <w:r>
              <w:rPr>
                <w:rFonts w:ascii="Arial" w:hAnsi="Arial"/>
                <w:sz w:val="18"/>
                <w:szCs w:val="18"/>
              </w:rPr>
              <w:t xml:space="preserve">(Пяти) рабочих дней с момента его предоставления. Если Акт об оказании услуг/УПД не оспорен Заказчиком в течение 5 (Пяти) рабочих дней с момента его предоставления, то он считается подписанным Заказчиком, а услуги по данному документу принятыми Заказчиком.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9.2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Стоимость услуги 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t xml:space="preserve">с НДС 510 212 рублей , без НДС 418 206 рублей 56 копеек.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10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Срок действия Договора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С момента подписания договора до полного исполнения Сторонами принятых на себя обязательств.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11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Обеспечение заявки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Не установлено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12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Обеспечение исполнения договора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Не установлено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13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Конфиденциальность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Вся информация, полученная Сторонами в связи с заключением и исполнением Договора, является конфиденциальной и не подлежит разглашению третьим лицам, за исключением случаев, пре</w:t>
            </w:r>
            <w:r>
              <w:rPr>
                <w:rFonts w:ascii="Arial" w:hAnsi="Arial"/>
                <w:sz w:val="18"/>
                <w:szCs w:val="18"/>
              </w:rPr>
              <w:t xml:space="preserve">дусмотренных законодательством Российской Федерации. Стороны относят учетную информацию Заказчика и персональные данные физических лиц, к конфиденциальной информации. Заказчик и Исполнитель обязуются не передавать конфиденциальную информацию третьим лицам.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14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Требования к участникам закупки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rFonts w:ascii="Arial" w:hAnsi="Arial"/>
                <w:sz w:val="18"/>
                <w:szCs w:val="18"/>
              </w:rPr>
              <w:t xml:space="preserve">Отсутствие сведений об участнике закупки в Реестре недобросовестных поставщиков (подрядчиков, исполнителей)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/>
            <w:r/>
          </w:p>
        </w:tc>
        <w:tc>
          <w:tcPr>
            <w:shd w:val="clear" w:color="auto" w:fill="auto"/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  <w:tc>
          <w:tcPr>
            <w:shd w:val="clear" w:color="auto" w:fill="auto"/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shd w:val="clear" w:color="auto" w:fill="auto"/>
            <w:tcW w:w="6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/>
            <w:r/>
          </w:p>
        </w:tc>
        <w:tc>
          <w:tcPr>
            <w:shd w:val="clear" w:color="auto" w:fill="auto"/>
            <w:tcW w:w="180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  <w:tc>
          <w:tcPr>
            <w:shd w:val="clear" w:color="auto" w:fill="auto"/>
            <w:tcW w:w="7950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</w:tr>
    </w:tbl>
    <w:sectPr>
      <w:footerReference w:type="default" r:id="rId8"/>
      <w:footerReference w:type="first" r:id="rId9"/>
      <w:footnotePr/>
      <w:endnotePr/>
      <w:type w:val="nextPage"/>
      <w:pgSz w:w="11907" w:h="16839" w:orient="portrait"/>
      <w:pgMar w:top="567" w:right="567" w:bottom="1134" w:left="567" w:header="709" w:footer="709" w:gutter="0"/>
      <w:pgNumType w:start="1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  <w:jc w:val="left"/>
      <w:rPr>
        <w:highlight w:val="none"/>
      </w:rPr>
    </w:pPr>
    <w:fldSimple w:instr="PAGE \* MERGEFORMAT">
      <w:r>
        <w:t xml:space="preserve">1</w:t>
      </w:r>
    </w:fldSimple>
    <w:r/>
    <w:r>
      <w:rPr>
        <w:highlight w:val="none"/>
      </w:rPr>
    </w:r>
    <w:r>
      <w:rPr>
        <w:highlight w:val="none"/>
      </w:rPr>
    </w:r>
  </w:p>
  <w:p>
    <w:pPr>
      <w:pStyle w:val="874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docPartObj>
        <w:docPartGallery w:val="Page Numbers (Top of Page)"/>
      </w:docPartObj>
      <w:rPr/>
    </w:sdtPr>
    <w:sdtContent>
      <w:p>
        <w:r>
          <w:rPr>
            <w:rFonts w:ascii="Arial" w:hAnsi="Arial"/>
            <w:sz w:val="16"/>
          </w:rPr>
          <w:t xml:space="preserve">Страница </w:t>
        </w:r>
        <w:r>
          <w:rPr>
            <w:rFonts w:ascii="Arial" w:hAnsi="Arial"/>
            <w:sz w:val="16"/>
          </w:rPr>
          <w:t xml:space="preserve"> из </w:t>
        </w:r>
        <w:r>
          <w:rPr>
            <w:rFonts w:ascii="Arial" w:hAnsi="Arial"/>
            <w:sz w:val="16"/>
          </w:rPr>
        </w:r>
        <w:r/>
      </w:p>
    </w:sdtContent>
  </w:sdt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5">
    <w:name w:val="Heading 1"/>
    <w:link w:val="69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6">
    <w:name w:val="Heading 1 Char"/>
    <w:link w:val="695"/>
    <w:uiPriority w:val="9"/>
    <w:rPr>
      <w:rFonts w:ascii="Arial" w:hAnsi="Arial" w:eastAsia="Arial" w:cs="Arial"/>
      <w:sz w:val="40"/>
      <w:szCs w:val="40"/>
    </w:rPr>
  </w:style>
  <w:style w:type="paragraph" w:styleId="697">
    <w:name w:val="Heading 2"/>
    <w:link w:val="69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8">
    <w:name w:val="Heading 2 Char"/>
    <w:link w:val="697"/>
    <w:uiPriority w:val="9"/>
    <w:rPr>
      <w:rFonts w:ascii="Arial" w:hAnsi="Arial" w:eastAsia="Arial" w:cs="Arial"/>
      <w:sz w:val="34"/>
    </w:rPr>
  </w:style>
  <w:style w:type="paragraph" w:styleId="699">
    <w:name w:val="Heading 3"/>
    <w:link w:val="70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0">
    <w:name w:val="Heading 3 Char"/>
    <w:link w:val="699"/>
    <w:uiPriority w:val="9"/>
    <w:rPr>
      <w:rFonts w:ascii="Arial" w:hAnsi="Arial" w:eastAsia="Arial" w:cs="Arial"/>
      <w:sz w:val="30"/>
      <w:szCs w:val="30"/>
    </w:rPr>
  </w:style>
  <w:style w:type="paragraph" w:styleId="701">
    <w:name w:val="Heading 4"/>
    <w:link w:val="70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2">
    <w:name w:val="Heading 4 Char"/>
    <w:link w:val="701"/>
    <w:uiPriority w:val="9"/>
    <w:rPr>
      <w:rFonts w:ascii="Arial" w:hAnsi="Arial" w:eastAsia="Arial" w:cs="Arial"/>
      <w:b/>
      <w:bCs/>
      <w:sz w:val="26"/>
      <w:szCs w:val="26"/>
    </w:rPr>
  </w:style>
  <w:style w:type="paragraph" w:styleId="703">
    <w:name w:val="Heading 5"/>
    <w:link w:val="70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4">
    <w:name w:val="Heading 5 Char"/>
    <w:link w:val="703"/>
    <w:uiPriority w:val="9"/>
    <w:rPr>
      <w:rFonts w:ascii="Arial" w:hAnsi="Arial" w:eastAsia="Arial" w:cs="Arial"/>
      <w:b/>
      <w:bCs/>
      <w:sz w:val="24"/>
      <w:szCs w:val="24"/>
    </w:rPr>
  </w:style>
  <w:style w:type="paragraph" w:styleId="705">
    <w:name w:val="Heading 6"/>
    <w:link w:val="70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6">
    <w:name w:val="Heading 6 Char"/>
    <w:link w:val="705"/>
    <w:uiPriority w:val="9"/>
    <w:rPr>
      <w:rFonts w:ascii="Arial" w:hAnsi="Arial" w:eastAsia="Arial" w:cs="Arial"/>
      <w:b/>
      <w:bCs/>
      <w:sz w:val="22"/>
      <w:szCs w:val="22"/>
    </w:rPr>
  </w:style>
  <w:style w:type="paragraph" w:styleId="707">
    <w:name w:val="Heading 7"/>
    <w:link w:val="70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8">
    <w:name w:val="Heading 7 Char"/>
    <w:link w:val="70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9">
    <w:name w:val="Heading 8"/>
    <w:link w:val="71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0">
    <w:name w:val="Heading 8 Char"/>
    <w:link w:val="709"/>
    <w:uiPriority w:val="9"/>
    <w:rPr>
      <w:rFonts w:ascii="Arial" w:hAnsi="Arial" w:eastAsia="Arial" w:cs="Arial"/>
      <w:i/>
      <w:iCs/>
      <w:sz w:val="22"/>
      <w:szCs w:val="22"/>
    </w:rPr>
  </w:style>
  <w:style w:type="paragraph" w:styleId="711">
    <w:name w:val="Heading 9"/>
    <w:link w:val="71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2">
    <w:name w:val="Heading 9 Char"/>
    <w:link w:val="711"/>
    <w:uiPriority w:val="9"/>
    <w:rPr>
      <w:rFonts w:ascii="Arial" w:hAnsi="Arial" w:eastAsia="Arial" w:cs="Arial"/>
      <w:i/>
      <w:iCs/>
      <w:sz w:val="21"/>
      <w:szCs w:val="21"/>
    </w:rPr>
  </w:style>
  <w:style w:type="paragraph" w:styleId="713">
    <w:name w:val="List Paragraph"/>
    <w:uiPriority w:val="34"/>
    <w:qFormat/>
    <w:pPr>
      <w:contextualSpacing/>
      <w:ind w:left="720"/>
    </w:pPr>
  </w:style>
  <w:style w:type="paragraph" w:styleId="714">
    <w:name w:val="No Spacing"/>
    <w:uiPriority w:val="1"/>
    <w:qFormat/>
    <w:pPr>
      <w:spacing w:before="0" w:after="0" w:line="240" w:lineRule="auto"/>
    </w:pPr>
  </w:style>
  <w:style w:type="paragraph" w:styleId="715">
    <w:name w:val="Title"/>
    <w:link w:val="71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6">
    <w:name w:val="Title Char"/>
    <w:link w:val="715"/>
    <w:uiPriority w:val="10"/>
    <w:rPr>
      <w:sz w:val="48"/>
      <w:szCs w:val="48"/>
    </w:rPr>
  </w:style>
  <w:style w:type="paragraph" w:styleId="717">
    <w:name w:val="Subtitle"/>
    <w:link w:val="718"/>
    <w:uiPriority w:val="11"/>
    <w:qFormat/>
    <w:pPr>
      <w:spacing w:before="200" w:after="200"/>
    </w:pPr>
    <w:rPr>
      <w:sz w:val="24"/>
      <w:szCs w:val="24"/>
    </w:rPr>
  </w:style>
  <w:style w:type="character" w:styleId="718">
    <w:name w:val="Subtitle Char"/>
    <w:link w:val="717"/>
    <w:uiPriority w:val="11"/>
    <w:rPr>
      <w:sz w:val="24"/>
      <w:szCs w:val="24"/>
    </w:rPr>
  </w:style>
  <w:style w:type="paragraph" w:styleId="719">
    <w:name w:val="Quote"/>
    <w:link w:val="720"/>
    <w:uiPriority w:val="29"/>
    <w:qFormat/>
    <w:pPr>
      <w:ind w:left="720" w:right="720"/>
    </w:pPr>
    <w:rPr>
      <w:i/>
    </w:rPr>
  </w:style>
  <w:style w:type="character" w:styleId="720">
    <w:name w:val="Quote Char"/>
    <w:link w:val="719"/>
    <w:uiPriority w:val="29"/>
    <w:rPr>
      <w:i/>
    </w:rPr>
  </w:style>
  <w:style w:type="paragraph" w:styleId="721">
    <w:name w:val="Intense Quote"/>
    <w:link w:val="72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2">
    <w:name w:val="Intense Quote Char"/>
    <w:link w:val="721"/>
    <w:uiPriority w:val="30"/>
    <w:rPr>
      <w:i/>
    </w:rPr>
  </w:style>
  <w:style w:type="paragraph" w:styleId="723">
    <w:name w:val="Header"/>
    <w:link w:val="7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4">
    <w:name w:val="Header Char"/>
    <w:link w:val="723"/>
    <w:uiPriority w:val="99"/>
  </w:style>
  <w:style w:type="character" w:styleId="725">
    <w:name w:val="Footer Char"/>
    <w:link w:val="874"/>
    <w:uiPriority w:val="99"/>
  </w:style>
  <w:style w:type="paragraph" w:styleId="726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7">
    <w:name w:val="Caption Char"/>
    <w:basedOn w:val="726"/>
    <w:link w:val="874"/>
    <w:uiPriority w:val="99"/>
  </w:style>
  <w:style w:type="table" w:styleId="72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4">
    <w:name w:val="Hyperlink"/>
    <w:uiPriority w:val="99"/>
    <w:unhideWhenUsed/>
    <w:rPr>
      <w:color w:val="0000ff" w:themeColor="hyperlink"/>
      <w:u w:val="single"/>
    </w:rPr>
  </w:style>
  <w:style w:type="paragraph" w:styleId="855">
    <w:name w:val="footnote text"/>
    <w:link w:val="856"/>
    <w:uiPriority w:val="99"/>
    <w:semiHidden/>
    <w:unhideWhenUsed/>
    <w:pPr>
      <w:spacing w:after="40" w:line="240" w:lineRule="auto"/>
    </w:pPr>
    <w:rPr>
      <w:sz w:val="18"/>
    </w:rPr>
  </w:style>
  <w:style w:type="character" w:styleId="856">
    <w:name w:val="Footnote Text Char"/>
    <w:link w:val="855"/>
    <w:uiPriority w:val="99"/>
    <w:rPr>
      <w:sz w:val="18"/>
    </w:rPr>
  </w:style>
  <w:style w:type="character" w:styleId="857">
    <w:name w:val="footnote reference"/>
    <w:uiPriority w:val="99"/>
    <w:unhideWhenUsed/>
    <w:rPr>
      <w:vertAlign w:val="superscript"/>
    </w:rPr>
  </w:style>
  <w:style w:type="paragraph" w:styleId="858">
    <w:name w:val="endnote text"/>
    <w:link w:val="859"/>
    <w:uiPriority w:val="99"/>
    <w:semiHidden/>
    <w:unhideWhenUsed/>
    <w:pPr>
      <w:spacing w:after="0" w:line="240" w:lineRule="auto"/>
    </w:pPr>
    <w:rPr>
      <w:sz w:val="20"/>
    </w:rPr>
  </w:style>
  <w:style w:type="character" w:styleId="859">
    <w:name w:val="Endnote Text Char"/>
    <w:link w:val="858"/>
    <w:uiPriority w:val="99"/>
    <w:rPr>
      <w:sz w:val="20"/>
    </w:rPr>
  </w:style>
  <w:style w:type="character" w:styleId="860">
    <w:name w:val="endnote reference"/>
    <w:uiPriority w:val="99"/>
    <w:semiHidden/>
    <w:unhideWhenUsed/>
    <w:rPr>
      <w:vertAlign w:val="superscript"/>
    </w:rPr>
  </w:style>
  <w:style w:type="paragraph" w:styleId="861">
    <w:name w:val="toc 1"/>
    <w:uiPriority w:val="39"/>
    <w:unhideWhenUsed/>
    <w:pPr>
      <w:ind w:left="0" w:right="0" w:firstLine="0"/>
      <w:spacing w:after="57"/>
    </w:pPr>
  </w:style>
  <w:style w:type="paragraph" w:styleId="862">
    <w:name w:val="toc 2"/>
    <w:uiPriority w:val="39"/>
    <w:unhideWhenUsed/>
    <w:pPr>
      <w:ind w:left="283" w:right="0" w:firstLine="0"/>
      <w:spacing w:after="57"/>
    </w:pPr>
  </w:style>
  <w:style w:type="paragraph" w:styleId="863">
    <w:name w:val="toc 3"/>
    <w:uiPriority w:val="39"/>
    <w:unhideWhenUsed/>
    <w:pPr>
      <w:ind w:left="567" w:right="0" w:firstLine="0"/>
      <w:spacing w:after="57"/>
    </w:pPr>
  </w:style>
  <w:style w:type="paragraph" w:styleId="864">
    <w:name w:val="toc 4"/>
    <w:uiPriority w:val="39"/>
    <w:unhideWhenUsed/>
    <w:pPr>
      <w:ind w:left="850" w:right="0" w:firstLine="0"/>
      <w:spacing w:after="57"/>
    </w:pPr>
  </w:style>
  <w:style w:type="paragraph" w:styleId="865">
    <w:name w:val="toc 5"/>
    <w:uiPriority w:val="39"/>
    <w:unhideWhenUsed/>
    <w:pPr>
      <w:ind w:left="1134" w:right="0" w:firstLine="0"/>
      <w:spacing w:after="57"/>
    </w:pPr>
  </w:style>
  <w:style w:type="paragraph" w:styleId="866">
    <w:name w:val="toc 6"/>
    <w:uiPriority w:val="39"/>
    <w:unhideWhenUsed/>
    <w:pPr>
      <w:ind w:left="1417" w:right="0" w:firstLine="0"/>
      <w:spacing w:after="57"/>
    </w:pPr>
  </w:style>
  <w:style w:type="paragraph" w:styleId="867">
    <w:name w:val="toc 7"/>
    <w:uiPriority w:val="39"/>
    <w:unhideWhenUsed/>
    <w:pPr>
      <w:ind w:left="1701" w:right="0" w:firstLine="0"/>
      <w:spacing w:after="57"/>
    </w:pPr>
  </w:style>
  <w:style w:type="paragraph" w:styleId="868">
    <w:name w:val="toc 8"/>
    <w:uiPriority w:val="39"/>
    <w:unhideWhenUsed/>
    <w:pPr>
      <w:ind w:left="1984" w:right="0" w:firstLine="0"/>
      <w:spacing w:after="57"/>
    </w:pPr>
  </w:style>
  <w:style w:type="paragraph" w:styleId="869">
    <w:name w:val="toc 9"/>
    <w:uiPriority w:val="39"/>
    <w:unhideWhenUsed/>
    <w:pPr>
      <w:ind w:left="2268" w:right="0" w:firstLine="0"/>
      <w:spacing w:after="57"/>
    </w:pPr>
  </w:style>
  <w:style w:type="paragraph" w:styleId="870">
    <w:name w:val="TOC Heading"/>
    <w:uiPriority w:val="39"/>
    <w:unhideWhenUsed/>
  </w:style>
  <w:style w:type="paragraph" w:styleId="871">
    <w:name w:val="table of figures"/>
    <w:uiPriority w:val="99"/>
    <w:unhideWhenUsed/>
    <w:pPr>
      <w:spacing w:after="0" w:afterAutospacing="0"/>
    </w:pPr>
  </w:style>
  <w:style w:type="table" w:styleId="872">
    <w:name w:val="TableStyle0"/>
    <w:pPr>
      <w:spacing w:after="0" w:line="240" w:lineRule="auto"/>
    </w:pPr>
    <w:rPr>
      <w:rFonts w:ascii="Arial" w:hAnsi="Arial"/>
      <w:sz w:val="16"/>
    </w:rPr>
    <w:tblPr/>
  </w:style>
  <w:style w:type="paragraph" w:styleId="873">
    <w:name w:val="Footer"/>
  </w:style>
  <w:style w:type="paragraph" w:styleId="874">
    <w:name w:val="Footer"/>
  </w:style>
  <w:style w:type="character" w:styleId="875" w:default="1">
    <w:name w:val="Default Paragraph Font"/>
    <w:uiPriority w:val="1"/>
    <w:semiHidden/>
    <w:unhideWhenUsed/>
  </w:style>
  <w:style w:type="numbering" w:styleId="876" w:default="1">
    <w:name w:val="No List"/>
    <w:uiPriority w:val="99"/>
    <w:semiHidden/>
    <w:unhideWhenUsed/>
  </w:style>
  <w:style w:type="paragraph" w:styleId="877" w:default="1">
    <w:name w:val="Normal"/>
    <w:qFormat/>
  </w:style>
  <w:style w:type="table" w:styleId="87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dcterms:modified xsi:type="dcterms:W3CDTF">2026-05-27T02:49:53Z</dcterms:modified>
</cp:coreProperties>
</file>